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PVIS-1952867834-1092</_dlc_DocId>
    <_dlc_DocIdUrl xmlns="58896280-883f-49e1-8f2c-86b01e3ff616">
      <Url>https://projektai.intranet.litgrid.eu/PWA/HARMONY%20link%20jungties%20statyba/_layouts/15/DocIdRedir.aspx?ID=PVIS-1952867834-1092</Url>
      <Description>PVIS-1952867834-1092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F7EBD2DB-641F-43DF-B108-373ECF6F7BCF}"/>
</file>

<file path=customXml/itemProps3.xml><?xml version="1.0" encoding="utf-8"?>
<ds:datastoreItem xmlns:ds="http://schemas.openxmlformats.org/officeDocument/2006/customXml" ds:itemID="{BE2B4093-725E-406E-AAEE-4F3D69EBA9F4}"/>
</file>

<file path=customXml/itemProps4.xml><?xml version="1.0" encoding="utf-8"?>
<ds:datastoreItem xmlns:ds="http://schemas.openxmlformats.org/officeDocument/2006/customXml" ds:itemID="{55ADC87A-C9A1-4CB3-A947-C29F3A2F1338}"/>
</file>

<file path=customXml/itemProps5.xml><?xml version="1.0" encoding="utf-8"?>
<ds:datastoreItem xmlns:ds="http://schemas.openxmlformats.org/officeDocument/2006/customXml" ds:itemID="{1009F62D-830D-4E86-A9FB-5F6C8F869827}"/>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70b2138f-bcdb-4b4a-902a-22d1729433d6</vt:lpwstr>
  </property>
</Properties>
</file>